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7DAA" w:rsidRDefault="00427DAA" w:rsidP="00427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DAA">
        <w:rPr>
          <w:rFonts w:ascii="Times New Roman" w:hAnsi="Times New Roman" w:cs="Times New Roman"/>
          <w:b/>
          <w:sz w:val="28"/>
          <w:szCs w:val="28"/>
        </w:rPr>
        <w:t>Материально- техническое обеспечение и оснащенность образовательного процесса</w:t>
      </w:r>
    </w:p>
    <w:p w:rsidR="00427DAA" w:rsidRDefault="00427DAA" w:rsidP="00427D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МБОУ ЦО «Буйнакский районный центр развития одаренности» (далее - Центр) </w:t>
      </w:r>
      <w:r w:rsidRPr="00D3648B">
        <w:rPr>
          <w:rFonts w:ascii="Times New Roman" w:hAnsi="Times New Roman" w:cs="Times New Roman"/>
          <w:sz w:val="24"/>
          <w:szCs w:val="24"/>
        </w:rPr>
        <w:t>осуществляет деятельность на закрепленных за ним площадях: основное здание</w:t>
      </w:r>
      <w:r>
        <w:rPr>
          <w:rFonts w:ascii="Times New Roman" w:hAnsi="Times New Roman" w:cs="Times New Roman"/>
          <w:sz w:val="24"/>
          <w:szCs w:val="24"/>
        </w:rPr>
        <w:t xml:space="preserve">, в котором задействованы 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3648B">
        <w:rPr>
          <w:rFonts w:ascii="Times New Roman" w:hAnsi="Times New Roman" w:cs="Times New Roman"/>
          <w:color w:val="000000"/>
          <w:sz w:val="24"/>
          <w:szCs w:val="24"/>
        </w:rPr>
        <w:t>дминистративные и учебные помещения общей площадью 292,31 кв.м.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и 30 помещений  в школах и ДОУ Буйнакского района на основе договоров безвозмездного пользования. Основное здание Центра находится по адресу: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Буйнакск, ул. Ленина 61/1. Это трехэтажное нетиповое здание 1991  года постройки, общей </w:t>
      </w:r>
      <w:r w:rsidRPr="00B36B77">
        <w:rPr>
          <w:rFonts w:ascii="Times New Roman" w:hAnsi="Times New Roman" w:cs="Times New Roman"/>
          <w:color w:val="000000"/>
          <w:sz w:val="24"/>
          <w:szCs w:val="24"/>
        </w:rPr>
        <w:t xml:space="preserve">площадью  </w:t>
      </w:r>
      <w:r w:rsidRPr="00B36B77">
        <w:rPr>
          <w:rFonts w:ascii="Times New Roman" w:eastAsia="Times New Roman" w:hAnsi="Times New Roman" w:cs="Times New Roman"/>
          <w:sz w:val="24"/>
          <w:szCs w:val="24"/>
        </w:rPr>
        <w:t>372 кв.м.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Площадь земельного участка под зданием  с прилегающей территорией 691кв.м. Здание и земельный участок находятся в оперативном управлении с 2013года</w:t>
      </w:r>
      <w:r w:rsidRPr="00325E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5E1D">
        <w:rPr>
          <w:rFonts w:ascii="Times New Roman" w:hAnsi="Times New Roman" w:cs="Times New Roman"/>
          <w:sz w:val="24"/>
          <w:szCs w:val="24"/>
        </w:rPr>
        <w:t xml:space="preserve"> В здании имеются центральное от</w:t>
      </w:r>
      <w:r>
        <w:rPr>
          <w:rFonts w:ascii="Times New Roman" w:hAnsi="Times New Roman" w:cs="Times New Roman"/>
          <w:sz w:val="24"/>
          <w:szCs w:val="24"/>
        </w:rPr>
        <w:t xml:space="preserve">опление, водопровод, </w:t>
      </w:r>
      <w:r w:rsidRPr="00325E1D">
        <w:rPr>
          <w:rFonts w:ascii="Times New Roman" w:hAnsi="Times New Roman" w:cs="Times New Roman"/>
          <w:sz w:val="24"/>
          <w:szCs w:val="24"/>
        </w:rPr>
        <w:t xml:space="preserve"> электричество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DAA" w:rsidRDefault="00427DAA" w:rsidP="00427D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объединений Центра функционируют  в сетевой форме на базе школ, расположенных в  сельских поселениях Буйнакского района. Тем самым, мы обеспечиваем принцип территориальной доступности дополнительного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бщая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площадь помещений на основе договоров  пользования муниципальным имуществом  для осуществления образовательной деятельности составляет 840 кв.метров.</w:t>
      </w:r>
    </w:p>
    <w:p w:rsidR="00427DAA" w:rsidRPr="00D6662F" w:rsidRDefault="00427DAA" w:rsidP="00427DAA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Учебные помещения Центра оснащены </w:t>
      </w:r>
      <w:r w:rsidRPr="003A7327">
        <w:rPr>
          <w:rFonts w:ascii="Times New Roman" w:hAnsi="Times New Roman" w:cs="Times New Roman"/>
          <w:sz w:val="24"/>
          <w:szCs w:val="24"/>
        </w:rPr>
        <w:t>современным компьют</w:t>
      </w:r>
      <w:r>
        <w:rPr>
          <w:rFonts w:ascii="Times New Roman" w:hAnsi="Times New Roman" w:cs="Times New Roman"/>
          <w:sz w:val="24"/>
          <w:szCs w:val="24"/>
        </w:rPr>
        <w:t xml:space="preserve">ерным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оборудованием, в том числе комплект оборудования для кабинета естествознания. В 2018 году Центр выиграл грант Главы РД. За счет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анта приобретено оборудование  для  кабинета  объединения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Тастароплетение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Нижнеказанищенской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 частично в конференц-зал   основного здания, а также для объединений «Кройки и шитья»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Эрпелинской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Бугленской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427DAA" w:rsidRPr="00D6662F" w:rsidRDefault="00427DAA" w:rsidP="00427DAA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D6662F">
        <w:rPr>
          <w:rFonts w:ascii="Times New Roman" w:hAnsi="Times New Roman" w:cs="Times New Roman"/>
          <w:sz w:val="24"/>
          <w:szCs w:val="24"/>
        </w:rPr>
        <w:t>Наблюдается</w:t>
      </w:r>
      <w:r>
        <w:rPr>
          <w:rFonts w:ascii="Times New Roman" w:hAnsi="Times New Roman" w:cs="Times New Roman"/>
          <w:sz w:val="24"/>
          <w:szCs w:val="24"/>
        </w:rPr>
        <w:t xml:space="preserve"> положительная динамика </w:t>
      </w:r>
      <w:r w:rsidRPr="00D6662F">
        <w:rPr>
          <w:rFonts w:ascii="Times New Roman" w:hAnsi="Times New Roman" w:cs="Times New Roman"/>
          <w:sz w:val="24"/>
          <w:szCs w:val="24"/>
        </w:rPr>
        <w:t xml:space="preserve"> взаимодействия учреждений дополнительного образования, дошкольных и общеобразовательных организаций через совместное использование имеющихся материально-технических и кадровых ресурсов. Таким образом, кадровые, методические, организационные и материально-технические ресурсы системы дополнительного образования позволят обеспечить его развитие, выход на новый уровень содержания и качества деятельности. Вместе с тем, инфраструктура дополнительного образования в условиях постоянного изменения и обновления является недостаточной и требует </w:t>
      </w:r>
      <w:r>
        <w:rPr>
          <w:rFonts w:ascii="Times New Roman" w:hAnsi="Times New Roman" w:cs="Times New Roman"/>
          <w:sz w:val="24"/>
          <w:szCs w:val="24"/>
        </w:rPr>
        <w:t>значительных финансовых вложений.</w:t>
      </w:r>
    </w:p>
    <w:p w:rsidR="00427DAA" w:rsidRDefault="00427DAA" w:rsidP="00427DA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15"/>
        <w:gridCol w:w="755"/>
        <w:gridCol w:w="755"/>
        <w:gridCol w:w="898"/>
        <w:gridCol w:w="756"/>
        <w:gridCol w:w="756"/>
        <w:gridCol w:w="756"/>
        <w:gridCol w:w="756"/>
        <w:gridCol w:w="1384"/>
      </w:tblGrid>
      <w:tr w:rsidR="00427DAA" w:rsidRPr="00950ADC" w:rsidTr="00DD5138">
        <w:trPr>
          <w:cantSplit/>
          <w:trHeight w:val="1421"/>
        </w:trPr>
        <w:tc>
          <w:tcPr>
            <w:tcW w:w="540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5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755" w:type="dxa"/>
            <w:textDirection w:val="btLr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  <w:tc>
          <w:tcPr>
            <w:tcW w:w="755" w:type="dxa"/>
            <w:textDirection w:val="btLr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898" w:type="dxa"/>
            <w:textDirection w:val="btLr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756" w:type="dxa"/>
            <w:textDirection w:val="btLr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756" w:type="dxa"/>
            <w:textDirection w:val="btLr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756" w:type="dxa"/>
            <w:textDirection w:val="btLr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756" w:type="dxa"/>
            <w:textDirection w:val="btLr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384" w:type="dxa"/>
            <w:textDirection w:val="btLr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27DAA" w:rsidRPr="00950ADC" w:rsidTr="00DD5138">
        <w:tc>
          <w:tcPr>
            <w:tcW w:w="540" w:type="dxa"/>
          </w:tcPr>
          <w:p w:rsidR="00427DAA" w:rsidRPr="00950ADC" w:rsidRDefault="00427DAA" w:rsidP="00427DAA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27DAA" w:rsidRPr="00950ADC" w:rsidRDefault="00427DAA" w:rsidP="00DD5138">
            <w:pPr>
              <w:pStyle w:val="Style62"/>
              <w:widowControl/>
              <w:spacing w:line="240" w:lineRule="auto"/>
              <w:rPr>
                <w:rStyle w:val="FontStyle95"/>
                <w:b w:val="0"/>
              </w:rPr>
            </w:pPr>
            <w:r w:rsidRPr="00950ADC">
              <w:rPr>
                <w:rStyle w:val="FontStyle95"/>
              </w:rPr>
              <w:t xml:space="preserve">Кабинет естествознания </w:t>
            </w:r>
          </w:p>
          <w:p w:rsidR="00427DAA" w:rsidRPr="00950ADC" w:rsidRDefault="00427DAA" w:rsidP="00DD5138">
            <w:pPr>
              <w:pStyle w:val="Style62"/>
              <w:widowControl/>
              <w:spacing w:line="240" w:lineRule="auto"/>
              <w:rPr>
                <w:rStyle w:val="FontStyle95"/>
              </w:rPr>
            </w:pPr>
          </w:p>
        </w:tc>
        <w:tc>
          <w:tcPr>
            <w:tcW w:w="755" w:type="dxa"/>
          </w:tcPr>
          <w:p w:rsidR="00427DAA" w:rsidRPr="00950ADC" w:rsidRDefault="00427DAA" w:rsidP="00DD5138">
            <w:pPr>
              <w:pStyle w:val="Style1"/>
              <w:widowControl/>
              <w:jc w:val="both"/>
            </w:pPr>
          </w:p>
        </w:tc>
        <w:tc>
          <w:tcPr>
            <w:tcW w:w="755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90%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</w:pPr>
            <w:r w:rsidRPr="00950ADC">
              <w:t>+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</w:pP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</w:pPr>
            <w:r w:rsidRPr="00950ADC">
              <w:t>+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</w:pPr>
            <w:r w:rsidRPr="00950ADC">
              <w:t>+</w:t>
            </w:r>
          </w:p>
        </w:tc>
        <w:tc>
          <w:tcPr>
            <w:tcW w:w="1384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в основном здании</w:t>
            </w:r>
          </w:p>
        </w:tc>
      </w:tr>
      <w:tr w:rsidR="00427DAA" w:rsidRPr="00950ADC" w:rsidTr="00DD5138">
        <w:tc>
          <w:tcPr>
            <w:tcW w:w="540" w:type="dxa"/>
          </w:tcPr>
          <w:p w:rsidR="00427DAA" w:rsidRPr="00950ADC" w:rsidRDefault="00427DAA" w:rsidP="00427DAA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Конференц-зал</w:t>
            </w:r>
          </w:p>
        </w:tc>
        <w:tc>
          <w:tcPr>
            <w:tcW w:w="755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</w:t>
            </w:r>
          </w:p>
        </w:tc>
        <w:tc>
          <w:tcPr>
            <w:tcW w:w="755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100%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1384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в основном здании</w:t>
            </w:r>
          </w:p>
        </w:tc>
      </w:tr>
      <w:tr w:rsidR="00427DAA" w:rsidRPr="00950ADC" w:rsidTr="00DD5138">
        <w:tc>
          <w:tcPr>
            <w:tcW w:w="540" w:type="dxa"/>
          </w:tcPr>
          <w:p w:rsidR="00427DAA" w:rsidRPr="00950ADC" w:rsidRDefault="00427DAA" w:rsidP="00427DAA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 xml:space="preserve">Кабинет для объединений социально-педагогической </w:t>
            </w:r>
            <w:r w:rsidRPr="00950ADC">
              <w:rPr>
                <w:rFonts w:ascii="Times New Roman" w:hAnsi="Times New Roman"/>
              </w:rPr>
              <w:lastRenderedPageBreak/>
              <w:t>направленности</w:t>
            </w:r>
          </w:p>
        </w:tc>
        <w:tc>
          <w:tcPr>
            <w:tcW w:w="755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80%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1384" w:type="dxa"/>
          </w:tcPr>
          <w:p w:rsidR="00427DAA" w:rsidRPr="00950ADC" w:rsidRDefault="00427DAA" w:rsidP="00DD5138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в основном здании</w:t>
            </w:r>
          </w:p>
        </w:tc>
      </w:tr>
      <w:tr w:rsidR="00427DAA" w:rsidRPr="00950ADC" w:rsidTr="00DD5138">
        <w:tc>
          <w:tcPr>
            <w:tcW w:w="540" w:type="dxa"/>
          </w:tcPr>
          <w:p w:rsidR="00427DAA" w:rsidRPr="00950ADC" w:rsidRDefault="00427DAA" w:rsidP="00427DAA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DC">
              <w:rPr>
                <w:rStyle w:val="FontStyle95"/>
                <w:sz w:val="24"/>
                <w:szCs w:val="24"/>
              </w:rPr>
              <w:t>Кабинет  объединения художественной направленности</w:t>
            </w:r>
          </w:p>
        </w:tc>
        <w:tc>
          <w:tcPr>
            <w:tcW w:w="755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27DAA" w:rsidRPr="00950ADC" w:rsidRDefault="00427DAA" w:rsidP="00DD513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/>
                <w:sz w:val="24"/>
                <w:szCs w:val="24"/>
              </w:rPr>
              <w:t>Сетевая форма реализации</w:t>
            </w:r>
          </w:p>
        </w:tc>
      </w:tr>
    </w:tbl>
    <w:p w:rsidR="00427DAA" w:rsidRDefault="00427DAA" w:rsidP="00427DA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27DAA" w:rsidRPr="004013D4" w:rsidRDefault="00427DAA" w:rsidP="00427DAA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Вконференц-зале</w:t>
      </w:r>
      <w:proofErr w:type="spellEnd"/>
      <w:r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 </w:t>
      </w:r>
      <w:proofErr w:type="gramStart"/>
      <w:r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кабинете</w:t>
      </w:r>
      <w:proofErr w:type="gramEnd"/>
      <w:r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естествознания имеется следующее оборудование:</w:t>
      </w:r>
    </w:p>
    <w:tbl>
      <w:tblPr>
        <w:tblW w:w="9375" w:type="dxa"/>
        <w:tblInd w:w="93" w:type="dxa"/>
        <w:tblLayout w:type="fixed"/>
        <w:tblLook w:val="04A0"/>
      </w:tblPr>
      <w:tblGrid>
        <w:gridCol w:w="636"/>
        <w:gridCol w:w="5220"/>
        <w:gridCol w:w="7"/>
        <w:gridCol w:w="675"/>
        <w:gridCol w:w="1277"/>
        <w:gridCol w:w="1560"/>
      </w:tblGrid>
      <w:tr w:rsidR="00427DAA" w:rsidRPr="00FC4E26" w:rsidTr="00DD5138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объекта/ предмета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.и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Доска интерактивная </w:t>
            </w: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ACTIV BOARD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Акустические колонки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Документ- камера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Принтер цветной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ученич.+клавиатура+мышь+наушники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микрофон(1)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микроскоп цифровой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Levenhuk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D50 L NG (1)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модульная система эксперимент PROIOG  с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.о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беспечением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базовая (1)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Набор для проведения экспериментов по биологии с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модульн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истемой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Набор для проведения экспериментов по физике с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модульн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истемой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Набор для проведения экспериментов по химии с модульной системой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PROlog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 AE PRO 156-G  для 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обучающегося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ноутбук  AE PRO 156-G  для педагога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принтер лазерный 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Samsung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ml-2165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.о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беспеч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Модуль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Маршрутизатор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D-Link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DIR-855 802.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.о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беспеч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контроля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знаний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PROCIass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интегр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набор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проектор короткофокусный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Optoma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EX605ST с </w:t>
            </w: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креплением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Транспортно-зарядная база ТЗБ -15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 контроля и мониторинга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качествазнаний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PROCiass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(на 13 пультов)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27DAA" w:rsidRPr="00FC4E26" w:rsidTr="00DD5138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СканерСа</w:t>
            </w:r>
            <w:proofErr w:type="spellEnd"/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non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lade210(A44800x4800 USB2.0)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DAA" w:rsidRPr="00FC4E26" w:rsidRDefault="00427DAA" w:rsidP="00DD5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427DAA" w:rsidRDefault="00427DAA" w:rsidP="00427DA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27DAA" w:rsidRPr="00947C54" w:rsidRDefault="00427DAA" w:rsidP="00427DA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47C5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Также имеется оборудование в кабинетах декоративно- прикладного творчества.</w:t>
      </w:r>
    </w:p>
    <w:p w:rsidR="00427DAA" w:rsidRDefault="00427DAA" w:rsidP="00427DA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27DAA" w:rsidRDefault="00427DAA" w:rsidP="00427DA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27DAA" w:rsidRDefault="00427DAA" w:rsidP="00427DA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427DAA" w:rsidRPr="00427DAA" w:rsidRDefault="00427DAA">
      <w:pPr>
        <w:rPr>
          <w:rFonts w:ascii="Times New Roman" w:hAnsi="Times New Roman" w:cs="Times New Roman"/>
          <w:sz w:val="28"/>
          <w:szCs w:val="28"/>
        </w:rPr>
      </w:pPr>
    </w:p>
    <w:sectPr w:rsidR="00427DAA" w:rsidRPr="0042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DAA"/>
    <w:rsid w:val="0042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2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7DAA"/>
    <w:rPr>
      <w:rFonts w:ascii="Courier New" w:eastAsia="Times New Roman" w:hAnsi="Courier New" w:cs="Courier New"/>
      <w:sz w:val="20"/>
      <w:szCs w:val="20"/>
    </w:rPr>
  </w:style>
  <w:style w:type="character" w:customStyle="1" w:styleId="FontStyle95">
    <w:name w:val="Font Style95"/>
    <w:basedOn w:val="a0"/>
    <w:uiPriority w:val="99"/>
    <w:rsid w:val="00427DAA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427DA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427DAA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Lucida Sans Unicode" w:hAnsi="Lucida Sans Unicod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2021-11-08T05:31:00Z</dcterms:created>
  <dcterms:modified xsi:type="dcterms:W3CDTF">2021-11-08T05:35:00Z</dcterms:modified>
</cp:coreProperties>
</file>